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CA" w:rsidRPr="009B4181" w:rsidRDefault="00A523CA" w:rsidP="00A523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4181">
        <w:rPr>
          <w:rFonts w:ascii="Times New Roman" w:hAnsi="Times New Roman" w:cs="Times New Roman"/>
          <w:b/>
          <w:sz w:val="28"/>
          <w:szCs w:val="24"/>
        </w:rPr>
        <w:t>План работы городского методического объединения учителей технологии</w:t>
      </w:r>
    </w:p>
    <w:p w:rsidR="00A523CA" w:rsidRPr="009B4181" w:rsidRDefault="00A523CA" w:rsidP="00A523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9B4181">
        <w:rPr>
          <w:rFonts w:ascii="Times New Roman" w:hAnsi="Times New Roman" w:cs="Times New Roman"/>
          <w:b/>
          <w:sz w:val="28"/>
          <w:szCs w:val="24"/>
        </w:rPr>
        <w:t>а 2011- 2012 учебный год.</w:t>
      </w:r>
    </w:p>
    <w:p w:rsidR="00A523CA" w:rsidRPr="003976EA" w:rsidRDefault="00A523CA" w:rsidP="00A523C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976EA">
        <w:rPr>
          <w:rFonts w:ascii="Times New Roman" w:hAnsi="Times New Roman" w:cs="Times New Roman"/>
          <w:sz w:val="28"/>
          <w:szCs w:val="24"/>
        </w:rPr>
        <w:t xml:space="preserve">     В связи с неминуемым введением стандартов второго поколения, обязательным участием школ города во Всероссийской олимпиаде школьников перечень мероприятий, планируемых на следующий учебный </w:t>
      </w:r>
      <w:proofErr w:type="gramStart"/>
      <w:r w:rsidRPr="003976EA">
        <w:rPr>
          <w:rFonts w:ascii="Times New Roman" w:hAnsi="Times New Roman" w:cs="Times New Roman"/>
          <w:sz w:val="28"/>
          <w:szCs w:val="24"/>
        </w:rPr>
        <w:t>год</w:t>
      </w:r>
      <w:proofErr w:type="gramEnd"/>
      <w:r w:rsidRPr="003976EA">
        <w:rPr>
          <w:rFonts w:ascii="Times New Roman" w:hAnsi="Times New Roman" w:cs="Times New Roman"/>
          <w:sz w:val="28"/>
          <w:szCs w:val="24"/>
        </w:rPr>
        <w:t xml:space="preserve"> конечно изменится, но стоящие перед городским методическим объединением учителей технологии не претерпят значительных изменений:</w:t>
      </w:r>
    </w:p>
    <w:p w:rsidR="00A523CA" w:rsidRPr="003976EA" w:rsidRDefault="00A523CA" w:rsidP="00A523C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976EA">
        <w:rPr>
          <w:rFonts w:ascii="Times New Roman" w:hAnsi="Times New Roman" w:cs="Times New Roman"/>
          <w:sz w:val="28"/>
          <w:szCs w:val="24"/>
        </w:rPr>
        <w:t>1.   Информирование педагогов о новом содержании образовательных и воспитательных технологий, передовом отечественном и зарубежном опыте с целью внедрения в практику работы.</w:t>
      </w:r>
    </w:p>
    <w:p w:rsidR="00A523CA" w:rsidRPr="003976EA" w:rsidRDefault="00A523CA" w:rsidP="00A523C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976EA">
        <w:rPr>
          <w:rFonts w:ascii="Times New Roman" w:hAnsi="Times New Roman" w:cs="Times New Roman"/>
          <w:sz w:val="28"/>
          <w:szCs w:val="24"/>
        </w:rPr>
        <w:t>2.Обеспечение творческого подхода к формированию системы обучения, учитывая познавательные способности и возможности школьников. Обобщение опыта работы с одаренными детьми.</w:t>
      </w:r>
    </w:p>
    <w:p w:rsidR="00A523CA" w:rsidRPr="003976EA" w:rsidRDefault="00A523CA" w:rsidP="00A523C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976EA">
        <w:rPr>
          <w:rFonts w:ascii="Times New Roman" w:hAnsi="Times New Roman" w:cs="Times New Roman"/>
          <w:sz w:val="28"/>
          <w:szCs w:val="24"/>
        </w:rPr>
        <w:t>3.Изучение и анализ педагогической деятельности. Выявление, обобщение и распространение передового педагогического опыта в школах города.</w:t>
      </w:r>
    </w:p>
    <w:p w:rsidR="00A523CA" w:rsidRDefault="00A523CA" w:rsidP="00A523C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07DD5">
        <w:rPr>
          <w:rFonts w:ascii="Times New Roman" w:hAnsi="Times New Roman" w:cs="Times New Roman"/>
          <w:b/>
          <w:sz w:val="28"/>
          <w:szCs w:val="24"/>
        </w:rPr>
        <w:t>Тема</w:t>
      </w:r>
      <w:r w:rsidRPr="00607DD5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«Современный урок как форма повышения мастерства и основа эффективного и качественного образования».</w:t>
      </w:r>
    </w:p>
    <w:p w:rsidR="00A523CA" w:rsidRDefault="00A523CA" w:rsidP="00A523C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07DD5">
        <w:rPr>
          <w:rFonts w:ascii="Times New Roman" w:hAnsi="Times New Roman" w:cs="Times New Roman"/>
          <w:b/>
          <w:sz w:val="28"/>
          <w:szCs w:val="24"/>
        </w:rPr>
        <w:t>Цель</w:t>
      </w:r>
      <w:r w:rsidRPr="00607DD5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 xml:space="preserve">повышение компетентности педагога через </w:t>
      </w:r>
      <w:r w:rsidRPr="00607DD5">
        <w:rPr>
          <w:rFonts w:ascii="Times New Roman" w:hAnsi="Times New Roman" w:cs="Times New Roman"/>
          <w:sz w:val="28"/>
          <w:szCs w:val="24"/>
        </w:rPr>
        <w:t xml:space="preserve"> внедрение в педагогическую практику новых форм, методов и технологий.</w:t>
      </w:r>
    </w:p>
    <w:p w:rsidR="00A523CA" w:rsidRPr="00C5431E" w:rsidRDefault="00A523CA" w:rsidP="00A523C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07DD5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A523CA" w:rsidRPr="00607DD5" w:rsidRDefault="00A523CA" w:rsidP="00A523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07DD5">
        <w:rPr>
          <w:rFonts w:ascii="Times New Roman" w:hAnsi="Times New Roman" w:cs="Times New Roman"/>
          <w:sz w:val="28"/>
          <w:szCs w:val="24"/>
        </w:rPr>
        <w:t>Поиск современных методов, приемов и средств обучения, способствующих повышению качества образования.</w:t>
      </w:r>
    </w:p>
    <w:p w:rsidR="00A523CA" w:rsidRPr="00607DD5" w:rsidRDefault="00A523CA" w:rsidP="00A523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07DD5">
        <w:rPr>
          <w:rFonts w:ascii="Times New Roman" w:hAnsi="Times New Roman" w:cs="Times New Roman"/>
          <w:sz w:val="28"/>
          <w:szCs w:val="24"/>
        </w:rPr>
        <w:t>Формирование умений и навыков по предметной компетенции на основе индивидуальных способностей и возможностей учащихся.</w:t>
      </w:r>
    </w:p>
    <w:p w:rsidR="00A523CA" w:rsidRPr="00607DD5" w:rsidRDefault="00A523CA" w:rsidP="00A52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07DD5">
        <w:rPr>
          <w:rFonts w:ascii="Times New Roman" w:hAnsi="Times New Roman" w:cs="Times New Roman"/>
          <w:sz w:val="28"/>
          <w:szCs w:val="24"/>
        </w:rPr>
        <w:t>Повышение профессионального мастерства п</w:t>
      </w:r>
      <w:r>
        <w:rPr>
          <w:rFonts w:ascii="Times New Roman" w:hAnsi="Times New Roman" w:cs="Times New Roman"/>
          <w:sz w:val="28"/>
          <w:szCs w:val="24"/>
        </w:rPr>
        <w:t xml:space="preserve">едагогов. </w:t>
      </w:r>
    </w:p>
    <w:p w:rsidR="00A523CA" w:rsidRDefault="00A523CA" w:rsidP="00A523C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523CA" w:rsidRPr="00C5431E" w:rsidRDefault="00A523CA" w:rsidP="00A523CA">
      <w:pPr>
        <w:pStyle w:val="a3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150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7"/>
        <w:gridCol w:w="2706"/>
        <w:gridCol w:w="2669"/>
        <w:gridCol w:w="2580"/>
        <w:gridCol w:w="2315"/>
        <w:gridCol w:w="2962"/>
      </w:tblGrid>
      <w:tr w:rsidR="00A523CA" w:rsidRPr="00894B5D" w:rsidTr="008C6C9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Ожидаемый </w:t>
            </w: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результат</w:t>
            </w:r>
          </w:p>
        </w:tc>
      </w:tr>
      <w:tr w:rsidR="00A523CA" w:rsidRPr="00894B5D" w:rsidTr="008C6C9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творческого подхода к формированию системы обучения, учитывая познавательные способности и возможности школьников. Обобщение опыта работы с одаренными детьми.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1.«Всероссийская олимпиада школьников по технологии» школьный тур (создание творческих групп). 2.Составление и обсуждение плана работы ГМО учителей </w:t>
            </w:r>
            <w:proofErr w:type="spellStart"/>
            <w:proofErr w:type="gram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техноло-гии</w:t>
            </w:r>
            <w:proofErr w:type="spellEnd"/>
            <w:proofErr w:type="gram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A523CA" w:rsidRPr="00F80ABD" w:rsidRDefault="00A523CA" w:rsidP="008C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3.«Развитие 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твор-ческого</w:t>
            </w:r>
            <w:proofErr w:type="spell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потенциала учащихся через </w:t>
            </w:r>
            <w:proofErr w:type="gram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проектную</w:t>
            </w:r>
            <w:proofErr w:type="gram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дея-тельность</w:t>
            </w:r>
            <w:proofErr w:type="spell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уроках технологии». </w:t>
            </w:r>
            <w:proofErr w:type="gram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Обо-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бщение</w:t>
            </w:r>
            <w:proofErr w:type="spellEnd"/>
            <w:proofErr w:type="gram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педа-гогического</w:t>
            </w:r>
            <w:proofErr w:type="spell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опыта (аттестация) учи-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телей</w:t>
            </w:r>
            <w:proofErr w:type="spell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Компик</w:t>
            </w:r>
            <w:proofErr w:type="spell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Н.А. , 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Таргунаковой</w:t>
            </w:r>
            <w:proofErr w:type="spell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В.А.</w:t>
            </w:r>
          </w:p>
          <w:p w:rsidR="00A523CA" w:rsidRPr="00F80ABD" w:rsidRDefault="00A523CA" w:rsidP="008C6C9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Круглый стол</w:t>
            </w:r>
          </w:p>
          <w:p w:rsidR="00A523CA" w:rsidRPr="00F80ABD" w:rsidRDefault="00A523CA" w:rsidP="008C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Пашинская А.А., 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Компик</w:t>
            </w:r>
            <w:proofErr w:type="spell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Н.А., 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Таргунакова</w:t>
            </w:r>
            <w:proofErr w:type="spell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В.А.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Разработаны тестовые задания для школьного тура ВОШ по технологии для 5-11 классов.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Повышение профессиональной компетентности  учителей. 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Ходатайство об аттестации </w:t>
            </w:r>
            <w:proofErr w:type="spellStart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Компик</w:t>
            </w:r>
            <w:proofErr w:type="spellEnd"/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Н.А.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работы ГМО на 2011-2012 учебный год.</w:t>
            </w:r>
          </w:p>
        </w:tc>
      </w:tr>
      <w:tr w:rsidR="00A523CA" w:rsidRPr="00894B5D" w:rsidTr="008C6C9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Обеспечение творческого подхода к формированию системы обучения, учитывая </w:t>
            </w: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познавательные способности и возможности школьников.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1.«Формирование универсальных учебных действий на уроках технологии».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практикум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Котова Н.В.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Пашинская А.А.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формирования универсальных учебных действий.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Повышение профессиональной </w:t>
            </w: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компетентности учителей.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Ходатайство об аттестации Котовой Н.В.</w:t>
            </w:r>
          </w:p>
          <w:p w:rsidR="00A523CA" w:rsidRPr="00F80AB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методических дефицитов, предложения, выводы «Об итогах школьного тура Всер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оссийской олимпиады школьников»</w:t>
            </w:r>
            <w:r w:rsidRPr="00F80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523CA" w:rsidRPr="00894B5D" w:rsidTr="008C6C9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и анализ педагогической деятельности.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«Организация работы с одаренными детьми».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Круглый стол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Пашинская А.А.</w:t>
            </w:r>
          </w:p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Гарт Е.Р.</w:t>
            </w:r>
          </w:p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Сидоренко О.Н.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 опыта работы с одаренными детьми.</w:t>
            </w:r>
          </w:p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профессиональной компетентности учителей.</w:t>
            </w:r>
          </w:p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Ходатайство об аттестации Сидоренко О.Н. 1 </w:t>
            </w:r>
            <w:proofErr w:type="spellStart"/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к.к</w:t>
            </w:r>
            <w:proofErr w:type="spellEnd"/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материальной базы, техническое обеспечение Олимпиады (муниципальный уровень).</w:t>
            </w:r>
          </w:p>
        </w:tc>
      </w:tr>
      <w:tr w:rsidR="00A523CA" w:rsidRPr="009A6038" w:rsidTr="008C6C9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ание системы и проработка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направ-</w:t>
            </w:r>
            <w:r w:rsidRPr="0033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лений</w:t>
            </w:r>
            <w:proofErr w:type="spellEnd"/>
            <w:r w:rsidRPr="0033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33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долгосрочного</w:t>
            </w:r>
            <w:proofErr w:type="gramEnd"/>
            <w:r w:rsidRPr="0033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эффективного </w:t>
            </w:r>
            <w:proofErr w:type="spellStart"/>
            <w:r w:rsidRPr="0033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3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ученик-учитель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Форум «Работа с одаренными детьми» </w:t>
            </w:r>
          </w:p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Интернет </w:t>
            </w: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форум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Пашинская А.А.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9A603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проблем в организации работы с одаренными детьми и путей их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523CA" w:rsidRPr="009A6038" w:rsidTr="008C6C9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A8">
              <w:rPr>
                <w:rFonts w:ascii="Times New Roman" w:hAnsi="Times New Roman"/>
                <w:sz w:val="24"/>
                <w:szCs w:val="24"/>
              </w:rPr>
              <w:t>Выявление, обобщение и распространение передового педагог</w:t>
            </w:r>
            <w:r w:rsidRPr="00A87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AA8">
              <w:rPr>
                <w:rFonts w:ascii="Times New Roman" w:hAnsi="Times New Roman"/>
                <w:sz w:val="24"/>
                <w:szCs w:val="24"/>
              </w:rPr>
              <w:t>ческого опыта в школах города.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«Изготовление кукол» (проектная деятельность)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Пашинская А.А.</w:t>
            </w:r>
          </w:p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Л.А.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компетентности/ создание банка методических идей.</w:t>
            </w:r>
          </w:p>
        </w:tc>
      </w:tr>
      <w:tr w:rsidR="00A523CA" w:rsidRPr="00894B5D" w:rsidTr="008C6C9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Стимулирование постоянного роста профессионального мастерства через коллективную и индивидуальную деятельность.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НПК</w:t>
            </w:r>
          </w:p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Интеллектуальный марафон «Шаг в будущее»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Круглый стол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Пашинская А.А.</w:t>
            </w:r>
          </w:p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A87AA8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A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 идей возможных заданий на интеллектуальном марафоне «Шаг в будущее».</w:t>
            </w:r>
          </w:p>
        </w:tc>
      </w:tr>
      <w:tr w:rsidR="00A523CA" w:rsidRPr="00894B5D" w:rsidTr="008C6C9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894B5D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ind w:left="78" w:hanging="7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педагогов о новом содержании образовательных и воспитательных технологий с целью внедрения в практику работы.</w:t>
            </w:r>
          </w:p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«Разработка рабочих программ по технологии в рамках ФГОС второго поколения»</w:t>
            </w:r>
          </w:p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еминар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Пашинская А.А.</w:t>
            </w:r>
          </w:p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Компик</w:t>
            </w:r>
            <w:proofErr w:type="spellEnd"/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Н.А.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Примерные программы по технологии для учащихся 5 класса.</w:t>
            </w:r>
          </w:p>
        </w:tc>
      </w:tr>
      <w:tr w:rsidR="00A523CA" w:rsidRPr="00894B5D" w:rsidTr="008C6C9E">
        <w:trPr>
          <w:trHeight w:val="173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педагогов о требованиях к элективным курсам. Обобщение опыта учителей.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«Особенности организации и проведения элективных курсов по технологии»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Пашинская А.А.</w:t>
            </w:r>
          </w:p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Бондарева М.А.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Информированность педагогов о требованиях к элективным курсам. Повышение качества программ элективных курсов по технологии.</w:t>
            </w:r>
          </w:p>
        </w:tc>
      </w:tr>
      <w:tr w:rsidR="00A523CA" w:rsidRPr="00894B5D" w:rsidTr="008C6C9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ind w:left="7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Эффективность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ГМО учителей технологии в 2011-2012 учебном году.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«Анализ работы ГМО за истекший период. Планирование на 2012-13 уч. Год»</w:t>
            </w:r>
          </w:p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Аналитический семинар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Пашинская А.А.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CA" w:rsidRPr="001B3D2F" w:rsidRDefault="00A523CA" w:rsidP="008C6C9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деятельности объединения; план работы на следующий год.</w:t>
            </w:r>
          </w:p>
          <w:p w:rsidR="00A523CA" w:rsidRPr="001B3D2F" w:rsidRDefault="00A523CA" w:rsidP="008C6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523CA" w:rsidRDefault="00A523CA" w:rsidP="00A523CA">
      <w:pPr>
        <w:rPr>
          <w:rFonts w:ascii="Times New Roman" w:hAnsi="Times New Roman" w:cs="Times New Roman"/>
          <w:sz w:val="24"/>
          <w:szCs w:val="24"/>
        </w:rPr>
      </w:pPr>
    </w:p>
    <w:p w:rsidR="0006788E" w:rsidRDefault="0006788E"/>
    <w:sectPr w:rsidR="0006788E" w:rsidSect="00A52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A15"/>
    <w:multiLevelType w:val="hybridMultilevel"/>
    <w:tmpl w:val="BA04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AB"/>
    <w:rsid w:val="0006788E"/>
    <w:rsid w:val="002E2DAB"/>
    <w:rsid w:val="00A5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2011-12-14T11:21:00Z</dcterms:created>
  <dcterms:modified xsi:type="dcterms:W3CDTF">2011-12-14T11:22:00Z</dcterms:modified>
</cp:coreProperties>
</file>